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D0" w:rsidRPr="00A00AFF" w:rsidRDefault="00D721D0" w:rsidP="00D721D0">
      <w:pPr>
        <w:rPr>
          <w:b/>
        </w:rPr>
      </w:pPr>
      <w:r w:rsidRPr="00A00AFF">
        <w:rPr>
          <w:b/>
        </w:rPr>
        <w:t>Cyklistické přilby</w:t>
      </w:r>
    </w:p>
    <w:p w:rsidR="00D721D0" w:rsidRPr="00447408" w:rsidRDefault="00D721D0" w:rsidP="00D721D0">
      <w:r w:rsidRPr="00447408">
        <w:t>V případě omezování následků nehod cyklistů je čím dál intenzivněji diskutováno téma (povinného) nošení přile</w:t>
      </w:r>
      <w:r>
        <w:t xml:space="preserve">b pro cyklisty. Podíl cyklistů nosících </w:t>
      </w:r>
      <w:r w:rsidRPr="00447408">
        <w:t>přilbu lze odhadnout z počtu nehod, které byly způsobeny řidiči motorových vozidel a chodci. Vycházíme z předpokladu, že viník nehody poruší pravidla silničního provozu bez přihlédnutí k tomu, zda poškozený má či nemá přilbu (</w:t>
      </w:r>
      <w:r>
        <w:t xml:space="preserve">tzv. </w:t>
      </w:r>
      <w:r w:rsidRPr="00447408">
        <w:t xml:space="preserve">„Padni, komu padni“). Zjistíme, že 68 </w:t>
      </w:r>
      <w:r>
        <w:t xml:space="preserve">% </w:t>
      </w:r>
      <w:r w:rsidRPr="00447408">
        <w:t>sražených cyklistů mělo přilby</w:t>
      </w:r>
      <w:r>
        <w:t>. To je v porovnání s cyklisticky vyspělými Evropskými metropolemi velice vysoké číslo</w:t>
      </w:r>
      <w:r w:rsidRPr="00447408">
        <w:t xml:space="preserve">. </w:t>
      </w:r>
    </w:p>
    <w:p w:rsidR="00D721D0" w:rsidRPr="00447408" w:rsidRDefault="00D721D0" w:rsidP="00D721D0">
      <w:r w:rsidRPr="00447408">
        <w:rPr>
          <w:noProof/>
          <w:lang w:eastAsia="cs-CZ"/>
        </w:rPr>
        <w:drawing>
          <wp:inline distT="0" distB="0" distL="0" distR="0" wp14:anchorId="3ADA59F2" wp14:editId="65B971B4">
            <wp:extent cx="4572000" cy="27432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21D0" w:rsidRPr="00447408" w:rsidRDefault="00D721D0" w:rsidP="00D721D0">
      <w:r w:rsidRPr="00447408">
        <w:t>Ve skupině 347 sraže</w:t>
      </w:r>
      <w:r>
        <w:t>ných cyklistů s přilbou došlo k</w:t>
      </w:r>
      <w:r w:rsidRPr="00447408">
        <w:t xml:space="preserve"> 114 lehkým a 13 těžkým zraněním, zatímco ve skupině 162 sražen</w:t>
      </w:r>
      <w:r>
        <w:t>ých cyklistů bez přilby došlo k</w:t>
      </w:r>
      <w:r w:rsidRPr="00447408">
        <w:t xml:space="preserve"> 119 lehkým a 16 těžkým zraněním. Nelze jednoznačně říci, že by přilba sama o sobě vedla k nižšímu počtu lehkých zranění, jelikož není posuzována celá řada dalších faktorů (styl jízdy cyklisty, ovlivnění alkoholem, věk, povrch), avšak statistika říká, že cyklisté s přilbou mají v případě jimi nezaviněné nehody o 55 % méně lehkých a o 62 % méně těžkých zranění. </w:t>
      </w:r>
      <w:r>
        <w:t xml:space="preserve">Dá se předpokládat, že drtivou většinu zraněných v této skupině nehod tvoří cyklisté. Pokud by platila přímá úměra, mohlo by povinné nošení přileb ušetřit v této skupině obětí dopravních nehod 10 těžkých zranění a 66 zranění lehkých. Znamenalo by to však, aby přibližně 100 tisíc pravidelných cyklistů nosilo přilbu po dobu 6 let. </w:t>
      </w:r>
    </w:p>
    <w:p w:rsidR="00D721D0" w:rsidRPr="00447408" w:rsidRDefault="00D721D0" w:rsidP="00D721D0">
      <w:r w:rsidRPr="00447408">
        <w:rPr>
          <w:noProof/>
          <w:lang w:eastAsia="cs-CZ"/>
        </w:rPr>
        <w:drawing>
          <wp:inline distT="0" distB="0" distL="0" distR="0" wp14:anchorId="164BE999" wp14:editId="794D58F0">
            <wp:extent cx="4572000" cy="274320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21D0" w:rsidRDefault="00D721D0" w:rsidP="00D721D0">
      <w:r w:rsidRPr="00447408">
        <w:lastRenderedPageBreak/>
        <w:t>Dalším faktorem, který následky zaviněných ale i nezaviněných nehod do značné míry ovlivní, je vlastní chování řidiče</w:t>
      </w:r>
      <w:r>
        <w:t xml:space="preserve"> a cyklisty</w:t>
      </w:r>
      <w:r w:rsidRPr="00447408">
        <w:t xml:space="preserve">. Tedy např. to, zda před jízdou požil alkohol, nebo např. nebyl schopen přizpůsobit rychlost jízdy svým schopnostem, atd. Intenzitu faktoru „rizikového chování“ lze odhadnout na počtu </w:t>
      </w:r>
      <w:r w:rsidRPr="00A00AFF">
        <w:t xml:space="preserve">cyklistů, kteří požili alkohol a nemají přilbu, což je obojí možné konstatovat jako rizikové chování vůči vlastní osobě. </w:t>
      </w:r>
    </w:p>
    <w:p w:rsidR="00D721D0" w:rsidRPr="00447408" w:rsidRDefault="00D721D0" w:rsidP="00D721D0">
      <w:r w:rsidRPr="00447408">
        <w:t>Z 543 cyklistů, kteří nehodu zavinili, mělo přilbu již jen 55 % cyklistů.</w:t>
      </w:r>
    </w:p>
    <w:p w:rsidR="00D721D0" w:rsidRPr="00447408" w:rsidRDefault="00D721D0" w:rsidP="00D721D0">
      <w:r w:rsidRPr="00447408">
        <w:rPr>
          <w:noProof/>
          <w:lang w:eastAsia="cs-CZ"/>
        </w:rPr>
        <w:drawing>
          <wp:inline distT="0" distB="0" distL="0" distR="0" wp14:anchorId="2759DE88" wp14:editId="3DBADE40">
            <wp:extent cx="4572000" cy="27432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21D0" w:rsidRPr="00447408" w:rsidRDefault="00D721D0" w:rsidP="00D721D0">
      <w:r w:rsidRPr="00447408">
        <w:t>V této skupině cyklistů však dochází k několika dramatickým změnám. První je, že se vyrovnává počet těžkých a lehkých zranění bez ohledu na to, zda cyklista má či nemá přilbu. Tak či tak máte 70 % naději, že získáte lehké zranění a přibližně 45 % naději, že se zraníte těžce. V případě že nehodu způsobí cyklista bez přilby</w:t>
      </w:r>
      <w:r>
        <w:t>,</w:t>
      </w:r>
      <w:r w:rsidRPr="00447408">
        <w:t xml:space="preserve"> je riziko vzniku těžkého zranění </w:t>
      </w:r>
      <w:r>
        <w:t xml:space="preserve">již „jen“ </w:t>
      </w:r>
      <w:r w:rsidRPr="00447408">
        <w:t>o 9 % vyšší než u cyklisty s přilbou. Počet zranění zde také o více než 10 % převyšuje počet nehod, což znamená, že zraněna je</w:t>
      </w:r>
      <w:r>
        <w:t xml:space="preserve"> i jiná osoba než jen cyklista a nelze proto přesně odhadnout, o kolik by se počet zraněných snížil povinným nošením přileb.</w:t>
      </w:r>
    </w:p>
    <w:p w:rsidR="00D721D0" w:rsidRPr="00447408" w:rsidRDefault="00D721D0" w:rsidP="00D721D0">
      <w:r w:rsidRPr="00447408">
        <w:rPr>
          <w:noProof/>
          <w:lang w:eastAsia="cs-CZ"/>
        </w:rPr>
        <w:drawing>
          <wp:inline distT="0" distB="0" distL="0" distR="0" wp14:anchorId="44ED04BB" wp14:editId="53DB5EB6">
            <wp:extent cx="4572000" cy="2743200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21D0" w:rsidRPr="00447408" w:rsidRDefault="00D721D0" w:rsidP="00D721D0"/>
    <w:p w:rsidR="00D721D0" w:rsidRPr="00447408" w:rsidRDefault="00D721D0" w:rsidP="00D721D0"/>
    <w:p w:rsidR="00D721D0" w:rsidRPr="00447408" w:rsidRDefault="00D721D0" w:rsidP="00D721D0">
      <w:r w:rsidRPr="00447408">
        <w:lastRenderedPageBreak/>
        <w:t xml:space="preserve">Růst podílu cyklistů bez přilby je patrný u cyklistů, kteří havarovali sami a byli jediným účastníkem nehody. Poprvé počet cyklistů bez přilby převažuje nad počtem jejich zodpovědnějších kolegů. </w:t>
      </w:r>
    </w:p>
    <w:p w:rsidR="00D721D0" w:rsidRPr="00447408" w:rsidRDefault="00D721D0" w:rsidP="00D721D0">
      <w:r w:rsidRPr="00447408">
        <w:rPr>
          <w:noProof/>
          <w:lang w:eastAsia="cs-CZ"/>
        </w:rPr>
        <w:drawing>
          <wp:inline distT="0" distB="0" distL="0" distR="0" wp14:anchorId="21CD51B9" wp14:editId="5CC4E55F">
            <wp:extent cx="4572000" cy="2743200"/>
            <wp:effectExtent l="0" t="0" r="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21D0" w:rsidRPr="00447408" w:rsidRDefault="00D721D0" w:rsidP="00D721D0">
      <w:r w:rsidRPr="00447408">
        <w:t>Pokr</w:t>
      </w:r>
      <w:r>
        <w:t>a</w:t>
      </w:r>
      <w:r w:rsidRPr="00447408">
        <w:t>čuje zde i růst počtu zraněných na 100 nehod.  Při takovéto nehodě má cyklista bez přilby 99 % naději, že se zraní, z toho však „jen“ v 11 procentech těžce. Je však hlavní důvod růstu pravděpodobnosti zranění absence přilby? Cyklista s přilbou je na tom dle následků nehod totiž paradoxně hůře. Naději že se zraní má 92 %</w:t>
      </w:r>
      <w:r>
        <w:t xml:space="preserve"> cyklistů havarujících bez přilby</w:t>
      </w:r>
      <w:r w:rsidRPr="00447408">
        <w:t xml:space="preserve">, 16 % zranění je těžkých. Pokud si dáme následky havárií do souvislosti s příčinami, mezi kterými je zejména nepřiměřená </w:t>
      </w:r>
      <w:r>
        <w:t>rychlost, nevěnování se řízení, nezvládnutí vozidla</w:t>
      </w:r>
      <w:r w:rsidRPr="00447408">
        <w:t xml:space="preserve"> a vysoká hladina alkoholu v krvi, vykresluje se v této skupině jako dominantní obrázek lehkovážného a sebevědomého cyklisty, který přecení své síly. Přitom v této skupině cyklistů nalezneme 22 těžkých zranění – 22 % z jejich celkového počtu</w:t>
      </w:r>
      <w:r>
        <w:t>. R</w:t>
      </w:r>
      <w:r w:rsidRPr="00447408">
        <w:t>ovná polovina</w:t>
      </w:r>
      <w:r>
        <w:t xml:space="preserve"> z nich byla</w:t>
      </w:r>
      <w:r w:rsidRPr="00447408">
        <w:t xml:space="preserve"> způsobena alkoholem!</w:t>
      </w:r>
      <w:r>
        <w:t xml:space="preserve"> Znamená vyšší počet zraněných mezi „opřilbenými“ cyklisty, že jim kus plastu na hlavě dodal falešný pocit vyšší jistoty? Těžko říci. Kdyby však platila přímá úměra, povinné nošení přileb v této by ve sledovaných šesti letech způsobilo pokles počtu lehkých zranění o 10, avšak zvýšilo počet těžkých zranění o čtyři.</w:t>
      </w:r>
    </w:p>
    <w:p w:rsidR="00D721D0" w:rsidRPr="00447408" w:rsidRDefault="00D721D0" w:rsidP="00D721D0">
      <w:r w:rsidRPr="00447408">
        <w:rPr>
          <w:noProof/>
          <w:lang w:eastAsia="cs-CZ"/>
        </w:rPr>
        <w:drawing>
          <wp:inline distT="0" distB="0" distL="0" distR="0" wp14:anchorId="08A04C13" wp14:editId="08933139">
            <wp:extent cx="4572000" cy="2743200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21D0" w:rsidRPr="00447408" w:rsidRDefault="00D721D0" w:rsidP="00D721D0">
      <w:r w:rsidRPr="00447408">
        <w:t xml:space="preserve">Asi nejvýrazněji lze vliv jiných faktorů než nošení přilby na celkové následky nehody sledovat u cyklistů, kteří zavinili nehodu a byli pod vlivem alkoholu. Dvě třeny těchto cyklistů nemělo přilbu. </w:t>
      </w:r>
    </w:p>
    <w:p w:rsidR="00D721D0" w:rsidRPr="00447408" w:rsidRDefault="00D721D0" w:rsidP="00D721D0">
      <w:r w:rsidRPr="00447408">
        <w:rPr>
          <w:noProof/>
          <w:lang w:eastAsia="cs-CZ"/>
        </w:rPr>
        <w:lastRenderedPageBreak/>
        <w:drawing>
          <wp:inline distT="0" distB="0" distL="0" distR="0" wp14:anchorId="11D413A7" wp14:editId="1002AD23">
            <wp:extent cx="4572000" cy="2743200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1D0" w:rsidRPr="00447408" w:rsidRDefault="00D721D0" w:rsidP="00D721D0">
      <w:r w:rsidRPr="00447408">
        <w:t xml:space="preserve">Způsobili 92 nehod a rozdíl mezi nošením a nenošením přilby se u nich prakticky vyrovnává. U lehkých zranění tento rozdíl činí pouze 2,25 %, u těžkých pak 1,5 %. Zajímavé je, že oproti skupině pouze </w:t>
      </w:r>
      <w:proofErr w:type="spellStart"/>
      <w:r w:rsidRPr="00447408">
        <w:t>samohavarujících</w:t>
      </w:r>
      <w:proofErr w:type="spellEnd"/>
      <w:r w:rsidRPr="00447408">
        <w:t xml:space="preserve"> cyklistů klesá na polovinu pravděpodobnost těžkých zranění. </w:t>
      </w:r>
    </w:p>
    <w:p w:rsidR="00D721D0" w:rsidRPr="00447408" w:rsidRDefault="00D721D0" w:rsidP="00D721D0">
      <w:r w:rsidRPr="00447408">
        <w:rPr>
          <w:noProof/>
          <w:lang w:eastAsia="cs-CZ"/>
        </w:rPr>
        <w:drawing>
          <wp:inline distT="0" distB="0" distL="0" distR="0" wp14:anchorId="51B8C56C" wp14:editId="387A926E">
            <wp:extent cx="4572000" cy="274320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21D0" w:rsidRDefault="00D721D0" w:rsidP="00D721D0">
      <w:bookmarkStart w:id="0" w:name="_GoBack"/>
      <w:bookmarkEnd w:id="0"/>
    </w:p>
    <w:sectPr w:rsidR="00D7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D0"/>
    <w:rsid w:val="00573B79"/>
    <w:rsid w:val="00D721D0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C7BB-DCD3-426E-A0F4-3BB1D5D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%20(automaticky%20ulo&#382;eno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%20(automaticky%20ulo&#382;eno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%20(automaticky%20ulo&#382;eno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%20(automaticky%20ulo&#382;eno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'Sumář nehod'!$AP$124</c:f>
              <c:strCache>
                <c:ptCount val="1"/>
                <c:pt idx="0">
                  <c:v>Sražení cyklisté s/bez přilby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nehod'!$AQ$123:$AR$123</c:f>
              <c:strCache>
                <c:ptCount val="2"/>
                <c:pt idx="0">
                  <c:v>S přilbou</c:v>
                </c:pt>
                <c:pt idx="1">
                  <c:v>Bez přilby</c:v>
                </c:pt>
              </c:strCache>
            </c:strRef>
          </c:cat>
          <c:val>
            <c:numRef>
              <c:f>'Sumář nehod'!$AQ$124:$AR$124</c:f>
              <c:numCache>
                <c:formatCode>General</c:formatCode>
                <c:ptCount val="2"/>
                <c:pt idx="0">
                  <c:v>347</c:v>
                </c:pt>
                <c:pt idx="1">
                  <c:v>162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Přepočtené</a:t>
            </a:r>
            <a:r>
              <a:rPr lang="cs-CZ" baseline="0"/>
              <a:t> následky nehod (na 100 nehod)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'Sumář nehod'!$AJ$148</c:f>
              <c:strCache>
                <c:ptCount val="1"/>
                <c:pt idx="0">
                  <c:v>Lehká zranění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'Sumář nehod'!$AK$147:$AL$147</c:f>
              <c:strCache>
                <c:ptCount val="2"/>
                <c:pt idx="0">
                  <c:v>Sražení cyklisté bez přilby</c:v>
                </c:pt>
                <c:pt idx="1">
                  <c:v>Sražení cyklisté s přilbou</c:v>
                </c:pt>
              </c:strCache>
            </c:strRef>
          </c:cat>
          <c:val>
            <c:numRef>
              <c:f>'Sumář nehod'!$AK$148:$AL$148</c:f>
              <c:numCache>
                <c:formatCode>0</c:formatCode>
                <c:ptCount val="2"/>
                <c:pt idx="0">
                  <c:v>73.456790123456798</c:v>
                </c:pt>
                <c:pt idx="1">
                  <c:v>32.853025936599423</c:v>
                </c:pt>
              </c:numCache>
            </c:numRef>
          </c:val>
        </c:ser>
        <c:ser>
          <c:idx val="1"/>
          <c:order val="1"/>
          <c:tx>
            <c:strRef>
              <c:f>'Sumář nehod'!$AJ$149</c:f>
              <c:strCache>
                <c:ptCount val="1"/>
                <c:pt idx="0">
                  <c:v>Těžká zranění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'Sumář nehod'!$AK$147:$AL$147</c:f>
              <c:strCache>
                <c:ptCount val="2"/>
                <c:pt idx="0">
                  <c:v>Sražení cyklisté bez přilby</c:v>
                </c:pt>
                <c:pt idx="1">
                  <c:v>Sražení cyklisté s přilbou</c:v>
                </c:pt>
              </c:strCache>
            </c:strRef>
          </c:cat>
          <c:val>
            <c:numRef>
              <c:f>'Sumář nehod'!$AK$149:$AL$149</c:f>
              <c:numCache>
                <c:formatCode>0</c:formatCode>
                <c:ptCount val="2"/>
                <c:pt idx="0">
                  <c:v>9.8765432098765427</c:v>
                </c:pt>
                <c:pt idx="1">
                  <c:v>3.7463976945244957</c:v>
                </c:pt>
              </c:numCache>
            </c:numRef>
          </c:val>
        </c:ser>
        <c:ser>
          <c:idx val="2"/>
          <c:order val="2"/>
          <c:tx>
            <c:strRef>
              <c:f>'Sumář nehod'!$AJ$150</c:f>
              <c:strCache>
                <c:ptCount val="1"/>
                <c:pt idx="0">
                  <c:v>Usmrcení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'Sumář nehod'!$AK$147:$AL$147</c:f>
              <c:strCache>
                <c:ptCount val="2"/>
                <c:pt idx="0">
                  <c:v>Sražení cyklisté bez přilby</c:v>
                </c:pt>
                <c:pt idx="1">
                  <c:v>Sražení cyklisté s přilbou</c:v>
                </c:pt>
              </c:strCache>
            </c:strRef>
          </c:cat>
          <c:val>
            <c:numRef>
              <c:f>'Sumář nehod'!$AK$150:$AL$150</c:f>
              <c:numCache>
                <c:formatCode>0</c:formatCode>
                <c:ptCount val="2"/>
                <c:pt idx="0">
                  <c:v>1.2345679012345678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1994704"/>
        <c:axId val="241995096"/>
      </c:barChart>
      <c:catAx>
        <c:axId val="24199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1995096"/>
        <c:crosses val="autoZero"/>
        <c:auto val="1"/>
        <c:lblAlgn val="ctr"/>
        <c:lblOffset val="100"/>
        <c:noMultiLvlLbl val="0"/>
      </c:catAx>
      <c:valAx>
        <c:axId val="241995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199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'Sumář nehod'!$AV$124</c:f>
              <c:strCache>
                <c:ptCount val="1"/>
                <c:pt idx="0">
                  <c:v>Cyklisté kteří zavinili nehodu s/bez přilby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nehod'!$AW$123:$AX$123</c:f>
              <c:strCache>
                <c:ptCount val="2"/>
                <c:pt idx="0">
                  <c:v>S pilbou</c:v>
                </c:pt>
                <c:pt idx="1">
                  <c:v>Bez přilby</c:v>
                </c:pt>
              </c:strCache>
            </c:strRef>
          </c:cat>
          <c:val>
            <c:numRef>
              <c:f>'Sumář nehod'!$AW$124:$AX$124</c:f>
              <c:numCache>
                <c:formatCode>General</c:formatCode>
                <c:ptCount val="2"/>
                <c:pt idx="0">
                  <c:v>301</c:v>
                </c:pt>
                <c:pt idx="1">
                  <c:v>242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Přepočtené</a:t>
            </a:r>
            <a:r>
              <a:rPr lang="cs-CZ" baseline="0"/>
              <a:t> následky nehod (na 100 nehod)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'Sumář nehod'!$AJ$159</c:f>
              <c:strCache>
                <c:ptCount val="1"/>
                <c:pt idx="0">
                  <c:v>Lehká zranění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'Sumář nehod'!$AK$158:$AL$158</c:f>
              <c:strCache>
                <c:ptCount val="2"/>
                <c:pt idx="0">
                  <c:v>Cyklisté kteří zavinili nehodu bez přilby</c:v>
                </c:pt>
                <c:pt idx="1">
                  <c:v>Cyklisté kteří zavinili nehodu s přilbou</c:v>
                </c:pt>
              </c:strCache>
            </c:strRef>
          </c:cat>
          <c:val>
            <c:numRef>
              <c:f>'Sumář nehod'!$AK$159:$AL$159</c:f>
              <c:numCache>
                <c:formatCode>General</c:formatCode>
                <c:ptCount val="2"/>
                <c:pt idx="0">
                  <c:v>71.074380165289256</c:v>
                </c:pt>
                <c:pt idx="1">
                  <c:v>70.7641196013289</c:v>
                </c:pt>
              </c:numCache>
            </c:numRef>
          </c:val>
        </c:ser>
        <c:ser>
          <c:idx val="1"/>
          <c:order val="1"/>
          <c:tx>
            <c:strRef>
              <c:f>'Sumář nehod'!$AJ$160</c:f>
              <c:strCache>
                <c:ptCount val="1"/>
                <c:pt idx="0">
                  <c:v>Těžká zranění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'Sumář nehod'!$AK$158:$AL$158</c:f>
              <c:strCache>
                <c:ptCount val="2"/>
                <c:pt idx="0">
                  <c:v>Cyklisté kteří zavinili nehodu bez přilby</c:v>
                </c:pt>
                <c:pt idx="1">
                  <c:v>Cyklisté kteří zavinili nehodu s přilbou</c:v>
                </c:pt>
              </c:strCache>
            </c:strRef>
          </c:cat>
          <c:val>
            <c:numRef>
              <c:f>'Sumář nehod'!$AK$160:$AL$160</c:f>
              <c:numCache>
                <c:formatCode>General</c:formatCode>
                <c:ptCount val="2"/>
                <c:pt idx="0">
                  <c:v>49.586776859504134</c:v>
                </c:pt>
                <c:pt idx="1">
                  <c:v>40.199335548172762</c:v>
                </c:pt>
              </c:numCache>
            </c:numRef>
          </c:val>
        </c:ser>
        <c:ser>
          <c:idx val="2"/>
          <c:order val="2"/>
          <c:tx>
            <c:strRef>
              <c:f>'Sumář nehod'!$AJ$161</c:f>
              <c:strCache>
                <c:ptCount val="1"/>
                <c:pt idx="0">
                  <c:v>Usmrcení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'Sumář nehod'!$AK$158:$AL$158</c:f>
              <c:strCache>
                <c:ptCount val="2"/>
                <c:pt idx="0">
                  <c:v>Cyklisté kteří zavinili nehodu bez přilby</c:v>
                </c:pt>
                <c:pt idx="1">
                  <c:v>Cyklisté kteří zavinili nehodu s přilbou</c:v>
                </c:pt>
              </c:strCache>
            </c:strRef>
          </c:cat>
          <c:val>
            <c:numRef>
              <c:f>'Sumář nehod'!$AK$161:$AL$161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896000"/>
        <c:axId val="129896392"/>
      </c:barChart>
      <c:catAx>
        <c:axId val="12989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9896392"/>
        <c:crosses val="autoZero"/>
        <c:auto val="1"/>
        <c:lblAlgn val="ctr"/>
        <c:lblOffset val="100"/>
        <c:noMultiLvlLbl val="0"/>
      </c:catAx>
      <c:valAx>
        <c:axId val="129896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989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'Sumář nehod'!$AF$202</c:f>
              <c:strCache>
                <c:ptCount val="1"/>
                <c:pt idx="0">
                  <c:v>Cyklisté kteří havarovali sami s/bez přilby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nehod'!$AG$201:$AH$201</c:f>
              <c:strCache>
                <c:ptCount val="2"/>
                <c:pt idx="0">
                  <c:v>S přilbou</c:v>
                </c:pt>
                <c:pt idx="1">
                  <c:v>Bez přilby</c:v>
                </c:pt>
              </c:strCache>
            </c:strRef>
          </c:cat>
          <c:val>
            <c:numRef>
              <c:f>'Sumář nehod'!$AG$202:$AH$202</c:f>
              <c:numCache>
                <c:formatCode>General</c:formatCode>
                <c:ptCount val="2"/>
                <c:pt idx="0">
                  <c:v>77</c:v>
                </c:pt>
                <c:pt idx="1">
                  <c:v>89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Přepočtené</a:t>
            </a:r>
            <a:r>
              <a:rPr lang="cs-CZ" baseline="0"/>
              <a:t> následky nehod (na 100 nehod)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'Sumář nehod'!$AJ$207</c:f>
              <c:strCache>
                <c:ptCount val="1"/>
                <c:pt idx="0">
                  <c:v>Lehká zranění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  <c:invertIfNegative val="0"/>
          <c:cat>
            <c:strRef>
              <c:f>'Sumář nehod'!$AK$206:$AL$206</c:f>
              <c:strCache>
                <c:ptCount val="2"/>
                <c:pt idx="0">
                  <c:v>Cyklisté, kteří sami havarovali bez přilby</c:v>
                </c:pt>
                <c:pt idx="1">
                  <c:v>Cyklisté, kteří sami havarovali s přilbou</c:v>
                </c:pt>
              </c:strCache>
            </c:strRef>
          </c:cat>
          <c:val>
            <c:numRef>
              <c:f>'Sumář nehod'!$AK$207:$AL$207</c:f>
              <c:numCache>
                <c:formatCode>General</c:formatCode>
                <c:ptCount val="2"/>
                <c:pt idx="0">
                  <c:v>87.640449438202253</c:v>
                </c:pt>
                <c:pt idx="1">
                  <c:v>76.623376623376629</c:v>
                </c:pt>
              </c:numCache>
            </c:numRef>
          </c:val>
        </c:ser>
        <c:ser>
          <c:idx val="1"/>
          <c:order val="1"/>
          <c:tx>
            <c:strRef>
              <c:f>'Sumář nehod'!$AJ$208</c:f>
              <c:strCache>
                <c:ptCount val="1"/>
                <c:pt idx="0">
                  <c:v>Těžká zranění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'Sumář nehod'!$AK$206:$AL$206</c:f>
              <c:strCache>
                <c:ptCount val="2"/>
                <c:pt idx="0">
                  <c:v>Cyklisté, kteří sami havarovali bez přilby</c:v>
                </c:pt>
                <c:pt idx="1">
                  <c:v>Cyklisté, kteří sami havarovali s přilbou</c:v>
                </c:pt>
              </c:strCache>
            </c:strRef>
          </c:cat>
          <c:val>
            <c:numRef>
              <c:f>'Sumář nehod'!$AK$208:$AL$208</c:f>
              <c:numCache>
                <c:formatCode>General</c:formatCode>
                <c:ptCount val="2"/>
                <c:pt idx="0">
                  <c:v>11.235955056179774</c:v>
                </c:pt>
                <c:pt idx="1">
                  <c:v>15.584415584415584</c:v>
                </c:pt>
              </c:numCache>
            </c:numRef>
          </c:val>
        </c:ser>
        <c:ser>
          <c:idx val="2"/>
          <c:order val="2"/>
          <c:tx>
            <c:strRef>
              <c:f>'Sumář nehod'!$AJ$209</c:f>
              <c:strCache>
                <c:ptCount val="1"/>
                <c:pt idx="0">
                  <c:v>Usmrcení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'Sumář nehod'!$AK$206:$AL$206</c:f>
              <c:strCache>
                <c:ptCount val="2"/>
                <c:pt idx="0">
                  <c:v>Cyklisté, kteří sami havarovali bez přilby</c:v>
                </c:pt>
                <c:pt idx="1">
                  <c:v>Cyklisté, kteří sami havarovali s přilbou</c:v>
                </c:pt>
              </c:strCache>
            </c:strRef>
          </c:cat>
          <c:val>
            <c:numRef>
              <c:f>'Sumář nehod'!$AK$209:$AL$209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897568"/>
        <c:axId val="129541344"/>
      </c:barChart>
      <c:catAx>
        <c:axId val="12989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9541344"/>
        <c:crosses val="autoZero"/>
        <c:auto val="1"/>
        <c:lblAlgn val="ctr"/>
        <c:lblOffset val="100"/>
        <c:noMultiLvlLbl val="0"/>
      </c:catAx>
      <c:valAx>
        <c:axId val="12954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989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'Sumář nehod'!$BE$123</c:f>
              <c:strCache>
                <c:ptCount val="1"/>
                <c:pt idx="0">
                  <c:v>Opilí cyklisté kteří zavinili nehodu 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nehod'!$BF$122:$BG$122</c:f>
              <c:strCache>
                <c:ptCount val="2"/>
                <c:pt idx="0">
                  <c:v>S přilbou</c:v>
                </c:pt>
                <c:pt idx="1">
                  <c:v>Bez přilby</c:v>
                </c:pt>
              </c:strCache>
            </c:strRef>
          </c:cat>
          <c:val>
            <c:numRef>
              <c:f>'Sumář nehod'!$BF$123:$BG$123</c:f>
              <c:numCache>
                <c:formatCode>General</c:formatCode>
                <c:ptCount val="2"/>
                <c:pt idx="0">
                  <c:v>30</c:v>
                </c:pt>
                <c:pt idx="1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Přepočtené</a:t>
            </a:r>
            <a:r>
              <a:rPr lang="cs-CZ" baseline="0"/>
              <a:t> následky nehod (na 100 nehod)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'Sumář nehod'!$AJ$170</c:f>
              <c:strCache>
                <c:ptCount val="1"/>
                <c:pt idx="0">
                  <c:v>Lehká zranění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  <c:invertIfNegative val="0"/>
          <c:cat>
            <c:strRef>
              <c:f>'Sumář nehod'!$AK$169:$AL$169</c:f>
              <c:strCache>
                <c:ptCount val="2"/>
                <c:pt idx="0">
                  <c:v>Opilí cyklisté kteří zavinili nehodu bez přilby</c:v>
                </c:pt>
                <c:pt idx="1">
                  <c:v>Cyklisté kteří zavinili nehodu s přilbou</c:v>
                </c:pt>
              </c:strCache>
            </c:strRef>
          </c:cat>
          <c:val>
            <c:numRef>
              <c:f>'Sumář nehod'!$AK$170:$AL$170</c:f>
              <c:numCache>
                <c:formatCode>General</c:formatCode>
                <c:ptCount val="2"/>
                <c:pt idx="0">
                  <c:v>82.258064516129039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'Sumář nehod'!$AJ$171</c:f>
              <c:strCache>
                <c:ptCount val="1"/>
                <c:pt idx="0">
                  <c:v>Těžká zranění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'Sumář nehod'!$AK$169:$AL$169</c:f>
              <c:strCache>
                <c:ptCount val="2"/>
                <c:pt idx="0">
                  <c:v>Opilí cyklisté kteří zavinili nehodu bez přilby</c:v>
                </c:pt>
                <c:pt idx="1">
                  <c:v>Cyklisté kteří zavinili nehodu s přilbou</c:v>
                </c:pt>
              </c:strCache>
            </c:strRef>
          </c:cat>
          <c:val>
            <c:numRef>
              <c:f>'Sumář nehod'!$AK$171:$AL$171</c:f>
              <c:numCache>
                <c:formatCode>General</c:formatCode>
                <c:ptCount val="2"/>
                <c:pt idx="0">
                  <c:v>8.064516129032258</c:v>
                </c:pt>
                <c:pt idx="1">
                  <c:v>6.666666666666667</c:v>
                </c:pt>
              </c:numCache>
            </c:numRef>
          </c:val>
        </c:ser>
        <c:ser>
          <c:idx val="2"/>
          <c:order val="2"/>
          <c:tx>
            <c:strRef>
              <c:f>'Sumář nehod'!$AJ$172</c:f>
              <c:strCache>
                <c:ptCount val="1"/>
                <c:pt idx="0">
                  <c:v>Usmrcení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'Sumář nehod'!$AK$169:$AL$169</c:f>
              <c:strCache>
                <c:ptCount val="2"/>
                <c:pt idx="0">
                  <c:v>Opilí cyklisté kteří zavinili nehodu bez přilby</c:v>
                </c:pt>
                <c:pt idx="1">
                  <c:v>Cyklisté kteří zavinili nehodu s přilbou</c:v>
                </c:pt>
              </c:strCache>
            </c:strRef>
          </c:cat>
          <c:val>
            <c:numRef>
              <c:f>'Sumář nehod'!$AK$172:$AL$172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542520"/>
        <c:axId val="129542912"/>
      </c:barChart>
      <c:catAx>
        <c:axId val="129542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9542912"/>
        <c:crosses val="autoZero"/>
        <c:auto val="1"/>
        <c:lblAlgn val="ctr"/>
        <c:lblOffset val="100"/>
        <c:noMultiLvlLbl val="0"/>
      </c:catAx>
      <c:valAx>
        <c:axId val="12954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9542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Horatius David (MHMP, RFD)</dc:creator>
  <cp:keywords/>
  <dc:description/>
  <cp:lastModifiedBy>Horatius David (MHMP, RFD)</cp:lastModifiedBy>
  <cp:revision>2</cp:revision>
  <dcterms:created xsi:type="dcterms:W3CDTF">2016-08-29T12:07:00Z</dcterms:created>
  <dcterms:modified xsi:type="dcterms:W3CDTF">2016-08-29T12:10:00Z</dcterms:modified>
</cp:coreProperties>
</file>