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97" w:rsidRPr="009B03A2" w:rsidRDefault="00B46697" w:rsidP="00B46697">
      <w:pPr>
        <w:rPr>
          <w:b/>
        </w:rPr>
      </w:pPr>
      <w:r w:rsidRPr="009B03A2">
        <w:rPr>
          <w:b/>
        </w:rPr>
        <w:t>Příčiny nehod s cyklisty dle zavinění</w:t>
      </w:r>
    </w:p>
    <w:p w:rsidR="00B46697" w:rsidRDefault="00B46697" w:rsidP="00B46697">
      <w:r>
        <w:t xml:space="preserve">Zajímavé je zjistit, jaké jsou příčiny nehod střízlivých </w:t>
      </w:r>
      <w:proofErr w:type="spellStart"/>
      <w:r>
        <w:t>samohavarovaných</w:t>
      </w:r>
      <w:proofErr w:type="spellEnd"/>
      <w:r>
        <w:t xml:space="preserve"> cyklistů. Nejčastěji havarovali střízliví cyklisté kvůli nepřiměřené rychlosti, a to ve 41,3 % svých nehod. Nehody ve vysoké rychlosti mají logicky i nejhorší následky a proto stojí za 63,6 % těžce zraněných v této skupině. Druhou nejčastější příčinou je, že se řidič plně nevěnoval řízení. Nepozornost způsobila 35,9 % nehod, avšak již jen za 18,2 % těžkých zranění. Obecně se dá říci, že pokud střízlivý cyklista havaruje sám, jede buď příliš rychle, dělá hlouposti, nebo „to“ prostě nezvládne (nezvládnutí řízení činí 14,9 %). </w:t>
      </w:r>
    </w:p>
    <w:p w:rsidR="00B46697" w:rsidRDefault="00B46697" w:rsidP="00B46697">
      <w:r>
        <w:rPr>
          <w:noProof/>
          <w:lang w:eastAsia="cs-CZ"/>
        </w:rPr>
        <w:drawing>
          <wp:inline distT="0" distB="0" distL="0" distR="0" wp14:anchorId="1402908A" wp14:editId="416FB32F">
            <wp:extent cx="4572000" cy="27432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46697" w:rsidRDefault="00B46697" w:rsidP="00B46697"/>
    <w:p w:rsidR="00B46697" w:rsidRDefault="00B46697" w:rsidP="00B46697">
      <w:r>
        <w:t>Kolize způsobené cyklisty</w:t>
      </w:r>
    </w:p>
    <w:p w:rsidR="00B46697" w:rsidRDefault="00B46697" w:rsidP="00B46697">
      <w:pPr>
        <w:rPr>
          <w:noProof/>
          <w:lang w:eastAsia="cs-CZ"/>
        </w:rPr>
      </w:pPr>
      <w:r>
        <w:t>V této skupině se výrazně projevuje jak vliv alkoholu v některých případech „rizikového chování“, kterými jsou zejména jízda na červenou a nevěnování se řízení. Nejčastější příčinou nehod je nevěnování se řízení, avšak závažnější dopady má nedání přednosti. Je to logické vzhledem k tomu, že účastníkem, kterému cyklista nedá přednost je zpravidla motorové vozidlo. Na třetí příčce je již zmíněné nezvládnutí řízení, které je silně ovlivněno fenoménem alkoholu. Zajímavý je také vysoký podíl lehce zraněných při vjetí do protisměru (nejedná se o jízdu v protisměru jednosměrnou ulicí), které je čtvrté v počtu nehod a které lze označit za statisticky nejzávažnější projev agresivity či neohleduplnosti u cyklistů.</w:t>
      </w:r>
      <w:r w:rsidRPr="00C022CD">
        <w:rPr>
          <w:noProof/>
          <w:lang w:eastAsia="cs-CZ"/>
        </w:rPr>
        <w:t xml:space="preserve"> </w:t>
      </w:r>
    </w:p>
    <w:p w:rsidR="00B46697" w:rsidRDefault="00B46697" w:rsidP="00B46697">
      <w:r>
        <w:rPr>
          <w:noProof/>
          <w:lang w:eastAsia="cs-CZ"/>
        </w:rPr>
        <w:lastRenderedPageBreak/>
        <w:drawing>
          <wp:inline distT="0" distB="0" distL="0" distR="0" wp14:anchorId="7539DCA0" wp14:editId="47D1DC10">
            <wp:extent cx="4564309" cy="2743200"/>
            <wp:effectExtent l="0" t="0" r="8255"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46697" w:rsidRDefault="00B46697" w:rsidP="00B46697">
      <w:r>
        <w:t>Kolize způsobené řidiči motorových vozidel</w:t>
      </w:r>
    </w:p>
    <w:p w:rsidR="00B46697" w:rsidRPr="005A627E" w:rsidRDefault="00B46697" w:rsidP="00B46697">
      <w:pPr>
        <w:rPr>
          <w:sz w:val="26"/>
        </w:rPr>
      </w:pPr>
      <w:r>
        <w:t xml:space="preserve">U řidičů motorových vozidel, kteří srazili cyklistu, je situace odlišná. Mezi hlavní příčiny nehod patří nedání přednosti, které způsobilo 57,9 % nehod a současně 76,1 % vážných zranění. Pouze 12,9 % kolizí, 13 % vážných zranění a jedno úmrtí cyklisty zapříčinilo, že řidič se plně nevěnoval řízení. Nesprávné předjíždění způsobilo 3 % kolizí a 2,2 % vážných zranění. Za zmínku stojí, že za druhým úmrtím cyklisty stojí jízda na červenou, která jinak způsobila „pouze“ 0,9 % kolizí. </w:t>
      </w:r>
    </w:p>
    <w:p w:rsidR="00B46697" w:rsidRDefault="00B46697" w:rsidP="00B46697">
      <w:r>
        <w:rPr>
          <w:noProof/>
          <w:lang w:eastAsia="cs-CZ"/>
        </w:rPr>
        <w:drawing>
          <wp:inline distT="0" distB="0" distL="0" distR="0" wp14:anchorId="58F4280E" wp14:editId="29B17D8D">
            <wp:extent cx="5424488" cy="3100388"/>
            <wp:effectExtent l="0" t="0" r="5080" b="508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46697" w:rsidRDefault="00B46697" w:rsidP="00B46697"/>
    <w:p w:rsidR="00B46697" w:rsidRPr="00845FA8" w:rsidRDefault="00B46697" w:rsidP="00B46697">
      <w:r w:rsidRPr="00845FA8">
        <w:t>Při podrobnější analýze nedání přednosti zjistíme, že motorista nejčastěji nerespektuje dopravní značku Dej přednost. O něco méně často pak cyklistu přehlédne při odbočování vlevo, což má však mnohem horší následky. Při nesprávném odbočení vlevo bylo motoristy těžce zraněno nejvíce cyklistů, kterým řidiči nedali (jakoukoliv) přednost. Způsobeno to může být skutečností, že cyklista má vzhledem k protisměrnému pohybu vozidla mnohem méně času zareagovat a zmírnit případné následky kolize, přičemž rychlost vozidla a cyklisty se v okamžiku protisměrné srážky sčítají.</w:t>
      </w:r>
    </w:p>
    <w:p w:rsidR="00B46697" w:rsidRDefault="00B46697" w:rsidP="00B46697">
      <w:pPr>
        <w:rPr>
          <w:color w:val="FF0000"/>
        </w:rPr>
      </w:pPr>
      <w:r>
        <w:rPr>
          <w:noProof/>
          <w:lang w:eastAsia="cs-CZ"/>
        </w:rPr>
        <w:lastRenderedPageBreak/>
        <w:drawing>
          <wp:inline distT="0" distB="0" distL="0" distR="0" wp14:anchorId="192A433F" wp14:editId="05628422">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6697" w:rsidRPr="0097629F" w:rsidRDefault="00B46697" w:rsidP="00B46697">
      <w:r w:rsidRPr="0097629F">
        <w:t xml:space="preserve">Zcela největší podíl těžkých zranění k počtu nehod v dané kategorii je v případech, kdy motorista nerespektuje dopravní značku Stůj, dej přednost v jízdě. Opět se jedná o situaci, kdy má cyklista k záchraně svého zdraví obvykle velice málo manévrovacího prostoru a pokud sám není sražen, volí </w:t>
      </w:r>
      <w:r>
        <w:t xml:space="preserve">zpravidla </w:t>
      </w:r>
      <w:r w:rsidRPr="0097629F">
        <w:t xml:space="preserve">mezi nárazem do </w:t>
      </w:r>
      <w:r>
        <w:t>vozidla</w:t>
      </w:r>
      <w:r w:rsidRPr="0097629F">
        <w:t>, kter</w:t>
      </w:r>
      <w:r>
        <w:t>é</w:t>
      </w:r>
      <w:r w:rsidRPr="0097629F">
        <w:t xml:space="preserve"> mu nedal</w:t>
      </w:r>
      <w:r>
        <w:t>o</w:t>
      </w:r>
      <w:r w:rsidRPr="0097629F">
        <w:t xml:space="preserve"> přednost, nebo vjetím do protisměru. Relativně nejméně závažné nehody naopak motoristé způsobují při chybném otáčení či couvání. Je však třeba upozornit, že se již jedná o analýzy vytvořené z relativně malého počtu nehod. </w:t>
      </w:r>
    </w:p>
    <w:p w:rsidR="00B46697" w:rsidRDefault="00B46697" w:rsidP="00B46697">
      <w:pPr>
        <w:rPr>
          <w:color w:val="FF0000"/>
        </w:rPr>
      </w:pPr>
    </w:p>
    <w:p w:rsidR="00B46697" w:rsidRDefault="00B46697" w:rsidP="00B46697">
      <w:pPr>
        <w:rPr>
          <w:color w:val="FF0000"/>
        </w:rPr>
      </w:pPr>
      <w:r>
        <w:rPr>
          <w:noProof/>
          <w:lang w:eastAsia="cs-CZ"/>
        </w:rPr>
        <w:drawing>
          <wp:inline distT="0" distB="0" distL="0" distR="0" wp14:anchorId="2F73C154" wp14:editId="06CC771B">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6697" w:rsidRDefault="00B46697" w:rsidP="00B46697">
      <w:pPr>
        <w:rPr>
          <w:b/>
        </w:rPr>
      </w:pPr>
      <w:bookmarkStart w:id="0" w:name="_GoBack"/>
      <w:bookmarkEnd w:id="0"/>
    </w:p>
    <w:sectPr w:rsidR="00B46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97"/>
    <w:rsid w:val="001F0229"/>
    <w:rsid w:val="008E395E"/>
    <w:rsid w:val="00B46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42EF7-DC6F-49EA-8AB6-D278333F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6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000xz006010\Desktop\Horatius\Nehodovost%20cyklist&#367;%20v%20hl.%20m.%20Praze\suma%20nehodovos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000xz006010\Desktop\Horatius\Nehodovost%20cyklist&#367;%20v%20hl.%20m.%20Praze\suma%20nehodovosti%20(automaticky%20ulo&#382;en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000xz006010\Desktop\Horatius\Nehodovost%20cyklist&#367;%20v%20hl.%20m.%20Praze\suma%20nehodovos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000xz006010\Desktop\Horatius\Nehodovost%20cyklist&#367;%20v%20hl.%20m.%20Praze\20016_07_19%20DH%20Nehody%20s%20&#250;&#269;astn&#237;%20cyklist&#367;%20v%20Praze%20v%20letech%202011%20-%2020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000xz006010\Desktop\Horatius\Nehodovost%20cyklist&#367;%20v%20hl.%20m.%20Praze\suma%20nehodovosti.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Počty a</a:t>
            </a:r>
            <a:r>
              <a:rPr lang="cs-CZ" baseline="0"/>
              <a:t> následky nehod střízlivých samohavarujících cyklistů dle příčin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'Sumář nehod'!$AD$40</c:f>
              <c:strCache>
                <c:ptCount val="1"/>
                <c:pt idx="0">
                  <c:v>Počet nehod </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nehod'!$AE$39:$AH$39</c:f>
              <c:strCache>
                <c:ptCount val="4"/>
                <c:pt idx="0">
                  <c:v>Nepřizpůsobení rychlosti </c:v>
                </c:pt>
                <c:pt idx="1">
                  <c:v>Řidič se plně nevěnoval řízení vozidla</c:v>
                </c:pt>
                <c:pt idx="2">
                  <c:v>Nezvládnutí řízení vozidla </c:v>
                </c:pt>
                <c:pt idx="3">
                  <c:v>Jiný druh nesprávného způsobu jízdy </c:v>
                </c:pt>
              </c:strCache>
            </c:strRef>
          </c:cat>
          <c:val>
            <c:numRef>
              <c:f>'Sumář nehod'!$AE$40:$AH$40</c:f>
              <c:numCache>
                <c:formatCode>General</c:formatCode>
                <c:ptCount val="4"/>
                <c:pt idx="0">
                  <c:v>38</c:v>
                </c:pt>
                <c:pt idx="1">
                  <c:v>33</c:v>
                </c:pt>
                <c:pt idx="2">
                  <c:v>13</c:v>
                </c:pt>
                <c:pt idx="3">
                  <c:v>8</c:v>
                </c:pt>
              </c:numCache>
            </c:numRef>
          </c:val>
        </c:ser>
        <c:ser>
          <c:idx val="1"/>
          <c:order val="1"/>
          <c:tx>
            <c:strRef>
              <c:f>'Sumář nehod'!$AD$41</c:f>
              <c:strCache>
                <c:ptCount val="1"/>
                <c:pt idx="0">
                  <c:v>Počet lehce zraněných</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nehod'!$AE$39:$AH$39</c:f>
              <c:strCache>
                <c:ptCount val="4"/>
                <c:pt idx="0">
                  <c:v>Nepřizpůsobení rychlosti </c:v>
                </c:pt>
                <c:pt idx="1">
                  <c:v>Řidič se plně nevěnoval řízení vozidla</c:v>
                </c:pt>
                <c:pt idx="2">
                  <c:v>Nezvládnutí řízení vozidla </c:v>
                </c:pt>
                <c:pt idx="3">
                  <c:v>Jiný druh nesprávného způsobu jízdy </c:v>
                </c:pt>
              </c:strCache>
            </c:strRef>
          </c:cat>
          <c:val>
            <c:numRef>
              <c:f>'Sumář nehod'!$AE$41:$AH$41</c:f>
              <c:numCache>
                <c:formatCode>General</c:formatCode>
                <c:ptCount val="4"/>
                <c:pt idx="0">
                  <c:v>29</c:v>
                </c:pt>
                <c:pt idx="1">
                  <c:v>28</c:v>
                </c:pt>
                <c:pt idx="2">
                  <c:v>11</c:v>
                </c:pt>
                <c:pt idx="3">
                  <c:v>6</c:v>
                </c:pt>
              </c:numCache>
            </c:numRef>
          </c:val>
        </c:ser>
        <c:ser>
          <c:idx val="2"/>
          <c:order val="2"/>
          <c:tx>
            <c:strRef>
              <c:f>'Sumář nehod'!$AD$42</c:f>
              <c:strCache>
                <c:ptCount val="1"/>
                <c:pt idx="0">
                  <c:v>Počet těžce zraněných</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nehod'!$AE$39:$AH$39</c:f>
              <c:strCache>
                <c:ptCount val="4"/>
                <c:pt idx="0">
                  <c:v>Nepřizpůsobení rychlosti </c:v>
                </c:pt>
                <c:pt idx="1">
                  <c:v>Řidič se plně nevěnoval řízení vozidla</c:v>
                </c:pt>
                <c:pt idx="2">
                  <c:v>Nezvládnutí řízení vozidla </c:v>
                </c:pt>
                <c:pt idx="3">
                  <c:v>Jiný druh nesprávného způsobu jízdy </c:v>
                </c:pt>
              </c:strCache>
            </c:strRef>
          </c:cat>
          <c:val>
            <c:numRef>
              <c:f>'Sumář nehod'!$AE$42:$AH$42</c:f>
              <c:numCache>
                <c:formatCode>General</c:formatCode>
                <c:ptCount val="4"/>
                <c:pt idx="0">
                  <c:v>7</c:v>
                </c:pt>
                <c:pt idx="1">
                  <c:v>2</c:v>
                </c:pt>
                <c:pt idx="2">
                  <c:v>0</c:v>
                </c:pt>
                <c:pt idx="3">
                  <c:v>2</c:v>
                </c:pt>
              </c:numCache>
            </c:numRef>
          </c:val>
        </c:ser>
        <c:dLbls>
          <c:showLegendKey val="0"/>
          <c:showVal val="1"/>
          <c:showCatName val="0"/>
          <c:showSerName val="0"/>
          <c:showPercent val="0"/>
          <c:showBubbleSize val="0"/>
        </c:dLbls>
        <c:gapWidth val="150"/>
        <c:shape val="box"/>
        <c:axId val="303545472"/>
        <c:axId val="303543120"/>
        <c:axId val="0"/>
      </c:bar3DChart>
      <c:catAx>
        <c:axId val="303545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543120"/>
        <c:crosses val="autoZero"/>
        <c:auto val="1"/>
        <c:lblAlgn val="ctr"/>
        <c:lblOffset val="100"/>
        <c:noMultiLvlLbl val="0"/>
      </c:catAx>
      <c:valAx>
        <c:axId val="30354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54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800" b="0" i="0" baseline="0">
                <a:effectLst/>
              </a:rPr>
              <a:t>Počty a následky kolizí cyklistů</a:t>
            </a:r>
          </a:p>
        </c:rich>
      </c:tx>
      <c:layout>
        <c:manualLayout>
          <c:xMode val="edge"/>
          <c:yMode val="edge"/>
          <c:x val="0.14561919449362434"/>
          <c:y val="4.6296296296296294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663121624762919"/>
          <c:y val="0.16643518518518521"/>
          <c:w val="0.8455441995710633"/>
          <c:h val="0.30407115777194516"/>
        </c:manualLayout>
      </c:layout>
      <c:bar3DChart>
        <c:barDir val="col"/>
        <c:grouping val="clustered"/>
        <c:varyColors val="0"/>
        <c:ser>
          <c:idx val="0"/>
          <c:order val="0"/>
          <c:tx>
            <c:strRef>
              <c:f>'Sumář nehod'!$AM$231</c:f>
              <c:strCache>
                <c:ptCount val="1"/>
                <c:pt idx="0">
                  <c:v>Počet nehod </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nehod'!$AN$230:$AU$230</c:f>
              <c:strCache>
                <c:ptCount val="8"/>
                <c:pt idx="0">
                  <c:v>Nevěnoval se řízení  </c:v>
                </c:pt>
                <c:pt idx="1">
                  <c:v>Nedání přednosti</c:v>
                </c:pt>
                <c:pt idx="2">
                  <c:v>Nezvládnutí řízení </c:v>
                </c:pt>
                <c:pt idx="3">
                  <c:v>Protisměr</c:v>
                </c:pt>
                <c:pt idx="4">
                  <c:v>Nedodržení bezpečné vzd.</c:v>
                </c:pt>
                <c:pt idx="5">
                  <c:v>Jízda na "červenou" </c:v>
                </c:pt>
                <c:pt idx="6">
                  <c:v>Nepřizpůsobení rychlosti </c:v>
                </c:pt>
                <c:pt idx="7">
                  <c:v>Ostatní</c:v>
                </c:pt>
              </c:strCache>
            </c:strRef>
          </c:cat>
          <c:val>
            <c:numRef>
              <c:f>'Sumář nehod'!$AN$231:$AU$231</c:f>
              <c:numCache>
                <c:formatCode>General</c:formatCode>
                <c:ptCount val="8"/>
                <c:pt idx="0">
                  <c:v>99</c:v>
                </c:pt>
                <c:pt idx="1">
                  <c:v>75</c:v>
                </c:pt>
                <c:pt idx="2">
                  <c:v>40</c:v>
                </c:pt>
                <c:pt idx="3">
                  <c:v>30</c:v>
                </c:pt>
                <c:pt idx="4">
                  <c:v>28</c:v>
                </c:pt>
                <c:pt idx="5">
                  <c:v>18</c:v>
                </c:pt>
                <c:pt idx="6">
                  <c:v>15</c:v>
                </c:pt>
                <c:pt idx="7">
                  <c:v>36</c:v>
                </c:pt>
              </c:numCache>
            </c:numRef>
          </c:val>
        </c:ser>
        <c:ser>
          <c:idx val="1"/>
          <c:order val="1"/>
          <c:tx>
            <c:strRef>
              <c:f>'Sumář nehod'!$AM$232</c:f>
              <c:strCache>
                <c:ptCount val="1"/>
                <c:pt idx="0">
                  <c:v>Lehce zraněných</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nehod'!$AN$230:$AU$230</c:f>
              <c:strCache>
                <c:ptCount val="8"/>
                <c:pt idx="0">
                  <c:v>Nevěnoval se řízení  </c:v>
                </c:pt>
                <c:pt idx="1">
                  <c:v>Nedání přednosti</c:v>
                </c:pt>
                <c:pt idx="2">
                  <c:v>Nezvládnutí řízení </c:v>
                </c:pt>
                <c:pt idx="3">
                  <c:v>Protisměr</c:v>
                </c:pt>
                <c:pt idx="4">
                  <c:v>Nedodržení bezpečné vzd.</c:v>
                </c:pt>
                <c:pt idx="5">
                  <c:v>Jízda na "červenou" </c:v>
                </c:pt>
                <c:pt idx="6">
                  <c:v>Nepřizpůsobení rychlosti </c:v>
                </c:pt>
                <c:pt idx="7">
                  <c:v>Ostatní</c:v>
                </c:pt>
              </c:strCache>
            </c:strRef>
          </c:cat>
          <c:val>
            <c:numRef>
              <c:f>'Sumář nehod'!$AN$232:$AU$232</c:f>
              <c:numCache>
                <c:formatCode>General</c:formatCode>
                <c:ptCount val="8"/>
                <c:pt idx="0">
                  <c:v>52</c:v>
                </c:pt>
                <c:pt idx="1">
                  <c:v>52</c:v>
                </c:pt>
                <c:pt idx="2">
                  <c:v>23</c:v>
                </c:pt>
                <c:pt idx="3">
                  <c:v>24</c:v>
                </c:pt>
                <c:pt idx="4">
                  <c:v>11</c:v>
                </c:pt>
                <c:pt idx="5">
                  <c:v>13</c:v>
                </c:pt>
                <c:pt idx="6">
                  <c:v>14</c:v>
                </c:pt>
                <c:pt idx="7">
                  <c:v>19</c:v>
                </c:pt>
              </c:numCache>
            </c:numRef>
          </c:val>
        </c:ser>
        <c:ser>
          <c:idx val="2"/>
          <c:order val="2"/>
          <c:tx>
            <c:strRef>
              <c:f>'Sumář nehod'!$AM$233</c:f>
              <c:strCache>
                <c:ptCount val="1"/>
                <c:pt idx="0">
                  <c:v>Těžce zraněných</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nehod'!$AN$230:$AU$230</c:f>
              <c:strCache>
                <c:ptCount val="8"/>
                <c:pt idx="0">
                  <c:v>Nevěnoval se řízení  </c:v>
                </c:pt>
                <c:pt idx="1">
                  <c:v>Nedání přednosti</c:v>
                </c:pt>
                <c:pt idx="2">
                  <c:v>Nezvládnutí řízení </c:v>
                </c:pt>
                <c:pt idx="3">
                  <c:v>Protisměr</c:v>
                </c:pt>
                <c:pt idx="4">
                  <c:v>Nedodržení bezpečné vzd.</c:v>
                </c:pt>
                <c:pt idx="5">
                  <c:v>Jízda na "červenou" </c:v>
                </c:pt>
                <c:pt idx="6">
                  <c:v>Nepřizpůsobení rychlosti </c:v>
                </c:pt>
                <c:pt idx="7">
                  <c:v>Ostatní</c:v>
                </c:pt>
              </c:strCache>
            </c:strRef>
          </c:cat>
          <c:val>
            <c:numRef>
              <c:f>'Sumář nehod'!$AN$233:$AU$233</c:f>
              <c:numCache>
                <c:formatCode>General</c:formatCode>
                <c:ptCount val="8"/>
                <c:pt idx="0">
                  <c:v>4</c:v>
                </c:pt>
                <c:pt idx="1">
                  <c:v>6</c:v>
                </c:pt>
                <c:pt idx="2">
                  <c:v>1</c:v>
                </c:pt>
                <c:pt idx="3">
                  <c:v>3</c:v>
                </c:pt>
                <c:pt idx="4">
                  <c:v>0</c:v>
                </c:pt>
                <c:pt idx="5">
                  <c:v>1</c:v>
                </c:pt>
                <c:pt idx="6">
                  <c:v>0</c:v>
                </c:pt>
                <c:pt idx="7">
                  <c:v>3</c:v>
                </c:pt>
              </c:numCache>
            </c:numRef>
          </c:val>
        </c:ser>
        <c:ser>
          <c:idx val="3"/>
          <c:order val="3"/>
          <c:tx>
            <c:strRef>
              <c:f>'Sumář nehod'!$AM$234</c:f>
              <c:strCache>
                <c:ptCount val="1"/>
                <c:pt idx="0">
                  <c:v>Alkohol/Nezjišťováno</c:v>
                </c:pt>
              </c:strCache>
            </c:strRef>
          </c:tx>
          <c:spPr>
            <a:solidFill>
              <a:schemeClr val="tx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nehod'!$AN$230:$AU$230</c:f>
              <c:strCache>
                <c:ptCount val="8"/>
                <c:pt idx="0">
                  <c:v>Nevěnoval se řízení  </c:v>
                </c:pt>
                <c:pt idx="1">
                  <c:v>Nedání přednosti</c:v>
                </c:pt>
                <c:pt idx="2">
                  <c:v>Nezvládnutí řízení </c:v>
                </c:pt>
                <c:pt idx="3">
                  <c:v>Protisměr</c:v>
                </c:pt>
                <c:pt idx="4">
                  <c:v>Nedodržení bezpečné vzd.</c:v>
                </c:pt>
                <c:pt idx="5">
                  <c:v>Jízda na "červenou" </c:v>
                </c:pt>
                <c:pt idx="6">
                  <c:v>Nepřizpůsobení rychlosti </c:v>
                </c:pt>
                <c:pt idx="7">
                  <c:v>Ostatní</c:v>
                </c:pt>
              </c:strCache>
            </c:strRef>
          </c:cat>
          <c:val>
            <c:numRef>
              <c:f>'Sumář nehod'!$AN$234:$AU$234</c:f>
              <c:numCache>
                <c:formatCode>General</c:formatCode>
                <c:ptCount val="8"/>
                <c:pt idx="0">
                  <c:v>15</c:v>
                </c:pt>
                <c:pt idx="1">
                  <c:v>2</c:v>
                </c:pt>
                <c:pt idx="2">
                  <c:v>33</c:v>
                </c:pt>
                <c:pt idx="3">
                  <c:v>2</c:v>
                </c:pt>
                <c:pt idx="4">
                  <c:v>2</c:v>
                </c:pt>
                <c:pt idx="5">
                  <c:v>3</c:v>
                </c:pt>
                <c:pt idx="6">
                  <c:v>1</c:v>
                </c:pt>
                <c:pt idx="7">
                  <c:v>4</c:v>
                </c:pt>
              </c:numCache>
            </c:numRef>
          </c:val>
        </c:ser>
        <c:dLbls>
          <c:showLegendKey val="0"/>
          <c:showVal val="1"/>
          <c:showCatName val="0"/>
          <c:showSerName val="0"/>
          <c:showPercent val="0"/>
          <c:showBubbleSize val="0"/>
        </c:dLbls>
        <c:gapWidth val="150"/>
        <c:shape val="box"/>
        <c:axId val="303544296"/>
        <c:axId val="303539200"/>
        <c:axId val="0"/>
      </c:bar3DChart>
      <c:catAx>
        <c:axId val="303544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539200"/>
        <c:crosses val="autoZero"/>
        <c:auto val="1"/>
        <c:lblAlgn val="ctr"/>
        <c:lblOffset val="100"/>
        <c:noMultiLvlLbl val="0"/>
      </c:catAx>
      <c:valAx>
        <c:axId val="30353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3544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aseline="0"/>
              <a:t>Počty a následky kolizí motoristů s cyklisty,  dle příčin</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'Sumář nehod'!$AD$52</c:f>
              <c:strCache>
                <c:ptCount val="1"/>
                <c:pt idx="0">
                  <c:v>Počet nehod </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nehod'!$AE$51:$AJ$51</c:f>
              <c:strCache>
                <c:ptCount val="6"/>
                <c:pt idx="0">
                  <c:v>Nedání předosti</c:v>
                </c:pt>
                <c:pt idx="1">
                  <c:v>Řidič se plně nevěnoval řízení vozidla</c:v>
                </c:pt>
                <c:pt idx="2">
                  <c:v>Nesprávné předjíždění</c:v>
                </c:pt>
                <c:pt idx="3">
                  <c:v>jízda po nesprávné straně vozovky, vjetí do protisměru</c:v>
                </c:pt>
                <c:pt idx="4">
                  <c:v>nesprávné otáčení nebo couvání </c:v>
                </c:pt>
                <c:pt idx="5">
                  <c:v>Ostatní</c:v>
                </c:pt>
              </c:strCache>
            </c:strRef>
          </c:cat>
          <c:val>
            <c:numRef>
              <c:f>'Sumář nehod'!$AE$52:$AJ$52</c:f>
              <c:numCache>
                <c:formatCode>General</c:formatCode>
                <c:ptCount val="6"/>
                <c:pt idx="0">
                  <c:v>305</c:v>
                </c:pt>
                <c:pt idx="1">
                  <c:v>68</c:v>
                </c:pt>
                <c:pt idx="2">
                  <c:v>16</c:v>
                </c:pt>
                <c:pt idx="3">
                  <c:v>13</c:v>
                </c:pt>
                <c:pt idx="4">
                  <c:v>11</c:v>
                </c:pt>
                <c:pt idx="5">
                  <c:v>57</c:v>
                </c:pt>
              </c:numCache>
            </c:numRef>
          </c:val>
        </c:ser>
        <c:ser>
          <c:idx val="1"/>
          <c:order val="1"/>
          <c:tx>
            <c:strRef>
              <c:f>'Sumář nehod'!$AD$53</c:f>
              <c:strCache>
                <c:ptCount val="1"/>
                <c:pt idx="0">
                  <c:v>Počet lehce zraněných</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nehod'!$AE$51:$AJ$51</c:f>
              <c:strCache>
                <c:ptCount val="6"/>
                <c:pt idx="0">
                  <c:v>Nedání předosti</c:v>
                </c:pt>
                <c:pt idx="1">
                  <c:v>Řidič se plně nevěnoval řízení vozidla</c:v>
                </c:pt>
                <c:pt idx="2">
                  <c:v>Nesprávné předjíždění</c:v>
                </c:pt>
                <c:pt idx="3">
                  <c:v>jízda po nesprávné straně vozovky, vjetí do protisměru</c:v>
                </c:pt>
                <c:pt idx="4">
                  <c:v>nesprávné otáčení nebo couvání </c:v>
                </c:pt>
                <c:pt idx="5">
                  <c:v>Ostatní</c:v>
                </c:pt>
              </c:strCache>
            </c:strRef>
          </c:cat>
          <c:val>
            <c:numRef>
              <c:f>'Sumář nehod'!$AE$53:$AJ$53</c:f>
              <c:numCache>
                <c:formatCode>General</c:formatCode>
                <c:ptCount val="6"/>
                <c:pt idx="0">
                  <c:v>206</c:v>
                </c:pt>
                <c:pt idx="1">
                  <c:v>47</c:v>
                </c:pt>
                <c:pt idx="2">
                  <c:v>14</c:v>
                </c:pt>
                <c:pt idx="3">
                  <c:v>8</c:v>
                </c:pt>
                <c:pt idx="4">
                  <c:v>6</c:v>
                </c:pt>
                <c:pt idx="5">
                  <c:v>30</c:v>
                </c:pt>
              </c:numCache>
            </c:numRef>
          </c:val>
        </c:ser>
        <c:ser>
          <c:idx val="2"/>
          <c:order val="2"/>
          <c:tx>
            <c:strRef>
              <c:f>'Sumář nehod'!$AD$54</c:f>
              <c:strCache>
                <c:ptCount val="1"/>
                <c:pt idx="0">
                  <c:v>Počet těžce zraněných</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nehod'!$AE$51:$AJ$51</c:f>
              <c:strCache>
                <c:ptCount val="6"/>
                <c:pt idx="0">
                  <c:v>Nedání předosti</c:v>
                </c:pt>
                <c:pt idx="1">
                  <c:v>Řidič se plně nevěnoval řízení vozidla</c:v>
                </c:pt>
                <c:pt idx="2">
                  <c:v>Nesprávné předjíždění</c:v>
                </c:pt>
                <c:pt idx="3">
                  <c:v>jízda po nesprávné straně vozovky, vjetí do protisměru</c:v>
                </c:pt>
                <c:pt idx="4">
                  <c:v>nesprávné otáčení nebo couvání </c:v>
                </c:pt>
                <c:pt idx="5">
                  <c:v>Ostatní</c:v>
                </c:pt>
              </c:strCache>
            </c:strRef>
          </c:cat>
          <c:val>
            <c:numRef>
              <c:f>'Sumář nehod'!$AE$54:$AJ$54</c:f>
              <c:numCache>
                <c:formatCode>General</c:formatCode>
                <c:ptCount val="6"/>
                <c:pt idx="0">
                  <c:v>35</c:v>
                </c:pt>
                <c:pt idx="1">
                  <c:v>6</c:v>
                </c:pt>
                <c:pt idx="2">
                  <c:v>1</c:v>
                </c:pt>
                <c:pt idx="3">
                  <c:v>0</c:v>
                </c:pt>
                <c:pt idx="4">
                  <c:v>0</c:v>
                </c:pt>
                <c:pt idx="5">
                  <c:v>2</c:v>
                </c:pt>
              </c:numCache>
            </c:numRef>
          </c:val>
        </c:ser>
        <c:ser>
          <c:idx val="3"/>
          <c:order val="3"/>
          <c:tx>
            <c:strRef>
              <c:f>'Sumář nehod'!$AD$55</c:f>
              <c:strCache>
                <c:ptCount val="1"/>
                <c:pt idx="0">
                  <c:v>Počet usmrcených</c:v>
                </c:pt>
              </c:strCache>
            </c:strRef>
          </c:tx>
          <c:spPr>
            <a:solidFill>
              <a:schemeClr val="tx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'Sumář nehod'!$AE$51:$AJ$51</c:f>
              <c:strCache>
                <c:ptCount val="6"/>
                <c:pt idx="0">
                  <c:v>Nedání předosti</c:v>
                </c:pt>
                <c:pt idx="1">
                  <c:v>Řidič se plně nevěnoval řízení vozidla</c:v>
                </c:pt>
                <c:pt idx="2">
                  <c:v>Nesprávné předjíždění</c:v>
                </c:pt>
                <c:pt idx="3">
                  <c:v>jízda po nesprávné straně vozovky, vjetí do protisměru</c:v>
                </c:pt>
                <c:pt idx="4">
                  <c:v>nesprávné otáčení nebo couvání </c:v>
                </c:pt>
                <c:pt idx="5">
                  <c:v>Ostatní</c:v>
                </c:pt>
              </c:strCache>
            </c:strRef>
          </c:cat>
          <c:val>
            <c:numRef>
              <c:f>'Sumář nehod'!$AE$55:$AJ$55</c:f>
              <c:numCache>
                <c:formatCode>General</c:formatCode>
                <c:ptCount val="6"/>
                <c:pt idx="1">
                  <c:v>1</c:v>
                </c:pt>
                <c:pt idx="5">
                  <c:v>1</c:v>
                </c:pt>
              </c:numCache>
            </c:numRef>
          </c:val>
        </c:ser>
        <c:dLbls>
          <c:showLegendKey val="0"/>
          <c:showVal val="1"/>
          <c:showCatName val="0"/>
          <c:showSerName val="0"/>
          <c:showPercent val="0"/>
          <c:showBubbleSize val="0"/>
        </c:dLbls>
        <c:gapWidth val="150"/>
        <c:shape val="box"/>
        <c:axId val="298260584"/>
        <c:axId val="298258232"/>
        <c:axId val="0"/>
      </c:bar3DChart>
      <c:catAx>
        <c:axId val="298260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258232"/>
        <c:crosses val="autoZero"/>
        <c:auto val="1"/>
        <c:lblAlgn val="ctr"/>
        <c:lblOffset val="100"/>
        <c:noMultiLvlLbl val="0"/>
      </c:catAx>
      <c:valAx>
        <c:axId val="298258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26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cs-CZ"/>
              <a:t>Nedání </a:t>
            </a:r>
            <a:r>
              <a:rPr lang="en-US"/>
              <a:t>přednosti - počty</a:t>
            </a:r>
            <a:r>
              <a:rPr lang="cs-CZ"/>
              <a:t> nehod</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3.0555555555555555E-2"/>
          <c:y val="0.1739585156022164"/>
          <c:w val="0.96944444444444444"/>
          <c:h val="0.39258858267716534"/>
        </c:manualLayout>
      </c:layout>
      <c:ofPieChart>
        <c:ofPieType val="pie"/>
        <c:varyColors val="1"/>
        <c:ser>
          <c:idx val="2"/>
          <c:order val="0"/>
          <c:tx>
            <c:strRef>
              <c:f>'Struktura nedání přednosti'!$B$319</c:f>
              <c:strCache>
                <c:ptCount val="1"/>
                <c:pt idx="0">
                  <c:v>Specifikace nedání přednosti - počty</c:v>
                </c:pt>
              </c:strCache>
            </c:strRef>
          </c:tx>
          <c:dPt>
            <c:idx val="0"/>
            <c:bubble3D val="0"/>
            <c:spPr>
              <a:solidFill>
                <a:srgbClr val="FF0000"/>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rgbClr val="FFFF00"/>
              </a:solidFill>
              <a:ln w="19050">
                <a:solidFill>
                  <a:schemeClr val="lt1"/>
                </a:solidFill>
              </a:ln>
              <a:effectLst/>
            </c:spPr>
          </c:dPt>
          <c:dPt>
            <c:idx val="4"/>
            <c:bubble3D val="0"/>
            <c:spPr>
              <a:solidFill>
                <a:schemeClr val="accent4">
                  <a:lumMod val="20000"/>
                  <a:lumOff val="80000"/>
                </a:schemeClr>
              </a:solidFill>
              <a:ln w="19050">
                <a:solidFill>
                  <a:schemeClr val="lt1"/>
                </a:solidFill>
              </a:ln>
              <a:effectLst/>
            </c:spPr>
          </c:dPt>
          <c:dPt>
            <c:idx val="5"/>
            <c:bubble3D val="0"/>
            <c:spPr>
              <a:solidFill>
                <a:schemeClr val="accent6">
                  <a:lumMod val="20000"/>
                  <a:lumOff val="80000"/>
                </a:schemeClr>
              </a:solidFill>
              <a:ln w="19050">
                <a:solidFill>
                  <a:schemeClr val="lt1"/>
                </a:solidFill>
              </a:ln>
              <a:effectLst/>
            </c:spPr>
          </c:dPt>
          <c:dPt>
            <c:idx val="6"/>
            <c:bubble3D val="0"/>
            <c:spPr>
              <a:solidFill>
                <a:schemeClr val="accent6">
                  <a:lumMod val="40000"/>
                  <a:lumOff val="60000"/>
                </a:schemeClr>
              </a:solidFill>
              <a:ln w="19050">
                <a:solidFill>
                  <a:schemeClr val="lt1"/>
                </a:solidFill>
              </a:ln>
              <a:effectLst/>
            </c:spPr>
          </c:dPt>
          <c:dPt>
            <c:idx val="7"/>
            <c:bubble3D val="0"/>
            <c:spPr>
              <a:solidFill>
                <a:schemeClr val="accent6">
                  <a:lumMod val="60000"/>
                  <a:lumOff val="40000"/>
                </a:schemeClr>
              </a:solidFill>
              <a:ln w="19050">
                <a:solidFill>
                  <a:schemeClr val="lt1"/>
                </a:solidFill>
              </a:ln>
              <a:effectLst/>
            </c:spPr>
          </c:dPt>
          <c:dPt>
            <c:idx val="8"/>
            <c:bubble3D val="0"/>
            <c:spPr>
              <a:solidFill>
                <a:schemeClr val="accent6">
                  <a:lumMod val="75000"/>
                </a:schemeClr>
              </a:solidFill>
              <a:ln w="19050">
                <a:solidFill>
                  <a:schemeClr val="lt1"/>
                </a:solidFill>
              </a:ln>
              <a:effectLst/>
            </c:spPr>
          </c:dPt>
          <c:dPt>
            <c:idx val="9"/>
            <c:bubble3D val="0"/>
            <c:spPr>
              <a:solidFill>
                <a:schemeClr val="accent6">
                  <a:lumMod val="5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Lbl>
              <c:idx val="6"/>
              <c:layout>
                <c:manualLayout>
                  <c:x val="-3.0015310586176728E-3"/>
                  <c:y val="-2.1835812190142898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1.8606955380577429E-2"/>
                  <c:y val="-2.346201516477107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6.1183289588801404E-3"/>
                  <c:y val="1.7629775444736075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1"/>
              <c:layout>
                <c:manualLayout>
                  <c:x val="1.1068022747156606E-2"/>
                  <c:y val="2.3979294254884384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ser>
          <c:idx val="3"/>
          <c:order val="1"/>
          <c:tx>
            <c:strRef>
              <c:f>'Struktura nedání přednosti'!$B$319</c:f>
              <c:strCache>
                <c:ptCount val="1"/>
                <c:pt idx="0">
                  <c:v>Specifikace nedání přednosti - počty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ser>
          <c:idx val="4"/>
          <c:order val="2"/>
          <c:tx>
            <c:strRef>
              <c:f>'Struktura nedání přednosti'!$B$319</c:f>
              <c:strCache>
                <c:ptCount val="1"/>
                <c:pt idx="0">
                  <c:v>Specifikace nedání přednosti - počty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ser>
          <c:idx val="5"/>
          <c:order val="3"/>
          <c:tx>
            <c:strRef>
              <c:f>'Struktura nedání přednosti'!$B$319</c:f>
              <c:strCache>
                <c:ptCount val="1"/>
                <c:pt idx="0">
                  <c:v>Specifikace nedání přednosti - počty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ser>
          <c:idx val="1"/>
          <c:order val="4"/>
          <c:tx>
            <c:strRef>
              <c:f>'Struktura nedání přednosti'!$B$319</c:f>
              <c:strCache>
                <c:ptCount val="1"/>
                <c:pt idx="0">
                  <c:v>Specifikace nedání přednosti - počty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ser>
          <c:idx val="0"/>
          <c:order val="5"/>
          <c:tx>
            <c:strRef>
              <c:f>'Struktura nedání přednosti'!$B$319</c:f>
              <c:strCache>
                <c:ptCount val="1"/>
                <c:pt idx="0">
                  <c:v>Specifikace nedání přednosti - počty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'Struktura nedání přednosti'!$C$318:$M$318</c:f>
              <c:strCache>
                <c:ptCount val="11"/>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pt idx="6">
                  <c:v>Jiné nedání přednosti</c:v>
                </c:pt>
                <c:pt idx="7">
                  <c:v>Vozidlu přijíždějícímu zprava</c:v>
                </c:pt>
                <c:pt idx="8">
                  <c:v>Při vyj. ze stanice, místa zast. nebo st.</c:v>
                </c:pt>
                <c:pt idx="9">
                  <c:v>Při odbočování vlevo souběžně jedoucímu</c:v>
                </c:pt>
                <c:pt idx="10">
                  <c:v>Chodci na vyznačeném přechodu</c:v>
                </c:pt>
              </c:strCache>
            </c:strRef>
          </c:cat>
          <c:val>
            <c:numRef>
              <c:f>'Struktura nedání přednosti'!$C$319:$M$319</c:f>
              <c:numCache>
                <c:formatCode>General</c:formatCode>
                <c:ptCount val="11"/>
                <c:pt idx="0">
                  <c:v>112</c:v>
                </c:pt>
                <c:pt idx="1">
                  <c:v>97</c:v>
                </c:pt>
                <c:pt idx="2">
                  <c:v>28</c:v>
                </c:pt>
                <c:pt idx="3">
                  <c:v>16</c:v>
                </c:pt>
                <c:pt idx="4">
                  <c:v>15</c:v>
                </c:pt>
                <c:pt idx="5">
                  <c:v>12</c:v>
                </c:pt>
                <c:pt idx="6">
                  <c:v>8</c:v>
                </c:pt>
                <c:pt idx="7">
                  <c:v>7</c:v>
                </c:pt>
                <c:pt idx="8">
                  <c:v>7</c:v>
                </c:pt>
                <c:pt idx="9">
                  <c:v>2</c:v>
                </c:pt>
                <c:pt idx="10">
                  <c:v>1</c:v>
                </c:pt>
              </c:numCache>
            </c:numRef>
          </c:val>
        </c:ser>
        <c:dLbls>
          <c:showLegendKey val="0"/>
          <c:showVal val="0"/>
          <c:showCatName val="0"/>
          <c:showSerName val="0"/>
          <c:showPercent val="0"/>
          <c:showBubbleSize val="0"/>
          <c:showLeaderLines val="1"/>
        </c:dLbls>
        <c:gapWidth val="100"/>
        <c:splitType val="pos"/>
        <c:splitPos val="6"/>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5.9967629046369202E-2"/>
          <c:y val="0.64988043161271503"/>
          <c:w val="0.91339785651793526"/>
          <c:h val="0.336230679498396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Podíl</a:t>
            </a:r>
            <a:r>
              <a:rPr lang="cs-CZ" baseline="0"/>
              <a:t> těžce zraněných k počtu nehod</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'Sumář nehod'!$AF$85</c:f>
              <c:strCache>
                <c:ptCount val="1"/>
                <c:pt idx="0">
                  <c:v>Počet nehod</c:v>
                </c:pt>
              </c:strCache>
            </c:strRef>
          </c:tx>
          <c:spPr>
            <a:solidFill>
              <a:schemeClr val="accent1"/>
            </a:solidFill>
            <a:ln>
              <a:noFill/>
            </a:ln>
            <a:effectLst/>
          </c:spPr>
          <c:invertIfNegative val="0"/>
          <c:cat>
            <c:strRef>
              <c:f>'Sumář nehod'!$AG$84:$AL$84</c:f>
              <c:strCache>
                <c:ptCount val="6"/>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strCache>
            </c:strRef>
          </c:cat>
          <c:val>
            <c:numRef>
              <c:f>'Sumář nehod'!$AG$85:$AL$85</c:f>
              <c:numCache>
                <c:formatCode>General</c:formatCode>
                <c:ptCount val="6"/>
                <c:pt idx="0">
                  <c:v>112</c:v>
                </c:pt>
                <c:pt idx="1">
                  <c:v>97</c:v>
                </c:pt>
                <c:pt idx="2">
                  <c:v>28</c:v>
                </c:pt>
                <c:pt idx="3">
                  <c:v>16</c:v>
                </c:pt>
                <c:pt idx="4">
                  <c:v>15</c:v>
                </c:pt>
                <c:pt idx="5">
                  <c:v>12</c:v>
                </c:pt>
              </c:numCache>
            </c:numRef>
          </c:val>
        </c:ser>
        <c:dLbls>
          <c:showLegendKey val="0"/>
          <c:showVal val="0"/>
          <c:showCatName val="0"/>
          <c:showSerName val="0"/>
          <c:showPercent val="0"/>
          <c:showBubbleSize val="0"/>
        </c:dLbls>
        <c:gapWidth val="150"/>
        <c:axId val="298255880"/>
        <c:axId val="298259408"/>
      </c:barChart>
      <c:lineChart>
        <c:grouping val="standard"/>
        <c:varyColors val="0"/>
        <c:ser>
          <c:idx val="1"/>
          <c:order val="1"/>
          <c:tx>
            <c:strRef>
              <c:f>'Sumář nehod'!$AF$86</c:f>
              <c:strCache>
                <c:ptCount val="1"/>
                <c:pt idx="0">
                  <c:v>Podíl těžce zraněných k počtu nehod</c:v>
                </c:pt>
              </c:strCache>
            </c:strRef>
          </c:tx>
          <c:spPr>
            <a:ln w="28575" cap="rnd">
              <a:solidFill>
                <a:schemeClr val="accent2"/>
              </a:solidFill>
              <a:round/>
            </a:ln>
            <a:effectLst/>
          </c:spPr>
          <c:marker>
            <c:symbol val="none"/>
          </c:marker>
          <c:cat>
            <c:strRef>
              <c:f>'Sumář nehod'!$AG$84:$AL$84</c:f>
              <c:strCache>
                <c:ptCount val="6"/>
                <c:pt idx="0">
                  <c:v>Proti příkazu dz DEJ PŘEDNOST</c:v>
                </c:pt>
                <c:pt idx="1">
                  <c:v>Při odbočování vlevo</c:v>
                </c:pt>
                <c:pt idx="2">
                  <c:v>Při vjíždění na silnici </c:v>
                </c:pt>
                <c:pt idx="3">
                  <c:v>Proti dz STŮJ DEJ PŘEDNOST</c:v>
                </c:pt>
                <c:pt idx="4">
                  <c:v>Při přejíždění z  pruhu do pruhu</c:v>
                </c:pt>
                <c:pt idx="5">
                  <c:v>Při otáčení nebo couvání</c:v>
                </c:pt>
              </c:strCache>
            </c:strRef>
          </c:cat>
          <c:val>
            <c:numRef>
              <c:f>'Sumář nehod'!$AG$86:$AL$86</c:f>
              <c:numCache>
                <c:formatCode>0%</c:formatCode>
                <c:ptCount val="6"/>
                <c:pt idx="0">
                  <c:v>8.9285714285714288E-2</c:v>
                </c:pt>
                <c:pt idx="1">
                  <c:v>0.14432989690721648</c:v>
                </c:pt>
                <c:pt idx="2">
                  <c:v>0.14285714285714285</c:v>
                </c:pt>
                <c:pt idx="3">
                  <c:v>0.1875</c:v>
                </c:pt>
                <c:pt idx="4">
                  <c:v>0.13333333333333333</c:v>
                </c:pt>
                <c:pt idx="5">
                  <c:v>8.3333333333333329E-2</c:v>
                </c:pt>
              </c:numCache>
            </c:numRef>
          </c:val>
          <c:smooth val="0"/>
        </c:ser>
        <c:dLbls>
          <c:showLegendKey val="0"/>
          <c:showVal val="0"/>
          <c:showCatName val="0"/>
          <c:showSerName val="0"/>
          <c:showPercent val="0"/>
          <c:showBubbleSize val="0"/>
        </c:dLbls>
        <c:marker val="1"/>
        <c:smooth val="0"/>
        <c:axId val="234067472"/>
        <c:axId val="234064336"/>
      </c:lineChart>
      <c:catAx>
        <c:axId val="298255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259408"/>
        <c:crosses val="autoZero"/>
        <c:auto val="1"/>
        <c:lblAlgn val="ctr"/>
        <c:lblOffset val="100"/>
        <c:noMultiLvlLbl val="0"/>
      </c:catAx>
      <c:valAx>
        <c:axId val="298259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nehod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8255880"/>
        <c:crosses val="autoZero"/>
        <c:crossBetween val="between"/>
      </c:valAx>
      <c:valAx>
        <c:axId val="2340643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Těžce  zraněných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4067472"/>
        <c:crosses val="max"/>
        <c:crossBetween val="between"/>
      </c:valAx>
      <c:catAx>
        <c:axId val="234067472"/>
        <c:scaling>
          <c:orientation val="minMax"/>
        </c:scaling>
        <c:delete val="1"/>
        <c:axPos val="b"/>
        <c:numFmt formatCode="General" sourceLinked="1"/>
        <c:majorTickMark val="out"/>
        <c:minorTickMark val="none"/>
        <c:tickLblPos val="nextTo"/>
        <c:crossAx val="23406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2618</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Horatius David (MHMP, RFD)</dc:creator>
  <cp:keywords/>
  <dc:description/>
  <cp:lastModifiedBy>Horatius David (MHMP, RFD)</cp:lastModifiedBy>
  <cp:revision>2</cp:revision>
  <dcterms:created xsi:type="dcterms:W3CDTF">2016-08-29T12:05:00Z</dcterms:created>
  <dcterms:modified xsi:type="dcterms:W3CDTF">2016-08-29T12:06:00Z</dcterms:modified>
</cp:coreProperties>
</file>